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29 vom 23. Januar 2024</w:t>
      </w:r>
    </w:p>
    <w:p>
      <w:r>
        <w:t>VS Kantonsgericht, 2024-01-23, FR</w:t>
      </w:r>
    </w:p>
    <w:p>
      <w:r>
        <w:rPr>
          <w:b/>
        </w:rPr>
        <w:t xml:space="preserve">Quelle: </w:t>
      </w:r>
      <w:r>
        <w:t>https://mcp.opencaselaw.ch/entscheid/vs_gerichte_P1 22 29</w:t>
      </w:r>
    </w:p>
    <w:p>
      <w:r>
        <w:t>FR: VS_GERICHTE P1 22 29 du 23 janvier 2024</w:t>
      </w:r>
    </w:p>
    <w:p>
      <w:r>
        <w:t>IT: VS_GERICHTE P1 22 29 del 23 gennaio 2024</w:t>
      </w:r>
    </w:p>
    <w:p>
      <w:pPr>
        <w:pStyle w:val="Heading2"/>
      </w:pPr>
      <w:r>
        <w:t>Regeste</w:t>
      </w:r>
    </w:p>
    <w:p>
      <w:r>
        <w:t>P1 22 29 ARRÊT DU 23 JANVIER 2024 Tribunal cantonal du Valais Cour pénale I Camille Rey-Mermet, juge unique ; Estelle Balet, greffière ad hoc ; en la cause Ministère public du canton du Valais, appelé, représenté par Olivier Elsig, premier procureur auprès de l’Office régional du Valais central, et X _________, partie plaignante et appelée, représentée par Maître Emilie Kalbermatter, avocate à Sion, contre Y _________, prévenu et appelant. (contrainte : art. 181 CP) Appel contre le jugement rendu le 17 décembre 2021 par le Juge III du district de Sion (SIO P1 18 9)</w:t>
      </w:r>
    </w:p>
    <w:p>
      <w:pPr>
        <w:pStyle w:val="Heading2"/>
      </w:pPr>
      <w:r>
        <w:t>Erwägungen</w:t>
      </w:r>
    </w:p>
    <w:p>
      <w:r>
        <w:rPr>
          <w:b/>
        </w:rPr>
        <w:t>E. 1.1</w:t>
      </w:r>
    </w:p>
    <w:p>
      <w:r>
        <w:t>L’appel est recevable contre les jugements de tribunaux de première instance qui, comme dans le cas particulier, ont clos totalement ou partiellement la procédure (art. 398 al. 1 CPP). La partie qui entend recourir annonce l'appel au tribunal de première instance par écrit ou oralement pour mention au procès-verbal dans le délai de dix jours à compter de la communication du jugement (art. 399 al. 1 CPP).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dans le délai légal de 20 jours de l'art. 399 al. 3 CPP (ATF 138 IV 157 consid. 2.2).</w:t>
      </w:r>
    </w:p>
    <w:p>
      <w:r>
        <w:t>- 6 - La déclaration d'appel doit être écrite, signée et indiquer les parties du jugement qui sont attaquées, les modifications du jugement de première instance et les réquisitions de preuves sollicitées (art. 399 al. 3 et 4 CPP). Une désignation exacte de la voie de recours n’a pas d’effet sur la validité du recours (art. 385 al. 3 CPP) ou de l’appel (CALAME, in : Commentaire romand du CPP, 2e éd., 2019, n. 14 ad art. 399 CPP), ce qui signifie qu’une écriture intitulée par erreur « recours » là où seul l’appel est possible doit être traitée comme un appel, et vice-versa, l’essentiel étant que les autres conditions de recevabilité de la voie de droit réellement ouverte soient remplies (CALAME, op. cit., n. 24 ad art. 385 CPP).</w:t>
      </w:r>
    </w:p>
    <w:p>
      <w:r>
        <w:rPr>
          <w:b/>
        </w:rPr>
        <w:t>E. 1.2</w:t>
      </w:r>
    </w:p>
    <w:p>
      <w:r>
        <w:t>En l’espèce, le jugement du 17 décembre 2021 du Tribunal de district de Sion a été adressé aux parties directement motivé par courrier recommandé du 3 février 2022. Le prévenu étant domicilié en France, le pli recommandé contenant la décision ne lui a été notifié que le 17 février 2022. La déclaration d’appel de Y _________ – faussement intitulée « recours » – envoyée le 26 février 2022 à l’autorité d’appel l’a été dans le délai légal de 20 jours dès la réception par l’appelant du jugement déféré. Formé en temps utile et dans le respect des formes prescrites, l’appel est donc recevable. Au surplus, sous l’angle de la compétence matérielle, la présente cause peut ressortir à un juge unique (cf. art. 21 al. 1 let. a CPP et 14 al. 2 LACPP).</w:t>
      </w:r>
    </w:p>
    <w:p>
      <w:r>
        <w:rPr>
          <w:b/>
        </w:rPr>
        <w:t>E. 1.3</w:t>
      </w:r>
    </w:p>
    <w:p>
      <w:r>
        <w:t>L'appel a un effet dévolutif complet. La juridiction d'appel dispose d'un plein pouvoir d'examen, en fait, en droit et en opportunité (art. 398 al. 2 et 3 CPP ; ATF 141 IV 244 consid. 1.3.3 ; KISTLER VIANIN, in : Commentaire romand, op. cit., n. 11 ad art. 398 CPP et n. 6 ad art. 402 CPP), de sorte qu’elle peut s’écarter des constatations de première instance sans ordonner de nouvelles mesures d’instruction. Les points non contestés du jugement de première instance acquièrent immédiatement force de chose jugée (KISTLER VIANIN, op. cit., n. 39 ad art. 399 CPP et n. 3 ad art. 402 CPP; EUGSTER, in : Basler Kommentar, 2e éd., 2014, n. 2 ad art. 402 CPP).</w:t>
      </w:r>
    </w:p>
    <w:p>
      <w:r>
        <w:rPr>
          <w:b/>
        </w:rPr>
        <w:t>E. 1.4</w:t>
      </w:r>
    </w:p>
    <w:p>
      <w:r>
        <w:t>En l’occurrence, l’appelant n’a pas comparu à l’audience du 23 janvier 2023 ; il n’était pas représenté et n’a fait valoir aucune excuse valable. Comme il séjourne à l’étranger, il ne peut toutefois subir aucun préjudice pour n’avoir pas donné suite à la citation. Aussi, son appel ne peut pas être considéré comme retiré (art. 407 al. 1 let. a CPP ; ATF 140 IV 86 consid. 2).</w:t>
      </w:r>
    </w:p>
    <w:p>
      <w:r>
        <w:rPr>
          <w:b/>
        </w:rPr>
        <w:t>E. 1.5</w:t>
      </w:r>
    </w:p>
    <w:p>
      <w:r>
        <w:t>En l’espèce, l’appelant conteste sa condamnation pour tentative de contrainte (art. 22 al. 1 cum 181 CP), ainsi que la répartition par moitié entre les parties des frais de procédure de première instance.</w:t>
      </w:r>
    </w:p>
    <w:p>
      <w:r>
        <w:t>- 7 - Son acquittement pour violation de domicile (art. 186 CP) ainsi que le renvoi des prétentions civile de la partie plaignante au for civil n’étant pas remis en cause, les chiffres 1 et 5 du dispositif de jugement sont entrés en force de chose jugée et n’ont pas à être examinés par le Tribunal cantonal.</w:t>
      </w:r>
    </w:p>
    <w:p>
      <w:r>
        <w:rPr>
          <w:b/>
        </w:rPr>
        <w:t>E. 2</w:t>
      </w:r>
    </w:p>
    <w:p>
      <w:r>
        <w:t>Le premier juge a considéré qu’en changeant le cylindre de la serrure dans le but d’empêcher l’accès au logement aux copropriétaires et à la régie en charge de la location, au mois d’août 2016, le prévenu s’était rendu coupable de tentative de contrainte (dos., p. 413, jugement entrepris, consid. 8.2). L’appelant soutient, pour sa part, qu’il était autorisé à séjourner dans l’appartement. Il argue qu’un locataire, – ce qu’il prétend être – a le droit de changer le cylindre de la porte ou la serrure sans avoir à demander l’accord du propriétaire, de sorte qu’il doit être acquitté de l’infraction de tentative de contrainte (appel, ch. 2).</w:t>
      </w:r>
    </w:p>
    <w:p>
      <w:r>
        <w:rPr>
          <w:b/>
        </w:rPr>
        <w:t>E. 2.1</w:t>
      </w:r>
    </w:p>
    <w:p>
      <w:r>
        <w:t>Selon l’art. 181 CP, se rend coupable de contrainte celui qui, en usant de violence envers une personne ou en la menaçant d'un dommage sérieux ou en l'entravant de quelque autre manière dans sa liberté d'action, l'aura obligée à faire, à ne pas faire ou à laisser faire un acte.</w:t>
      </w:r>
    </w:p>
    <w:p>
      <w:r>
        <w:rPr>
          <w:b/>
        </w:rPr>
        <w:t>E. 2.1.1</w:t>
      </w:r>
    </w:p>
    <w:p>
      <w:r>
        <w:t>Il y a contrainte si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w:t>
      </w:r>
    </w:p>
    <w:p>
      <w:r>
        <w:rPr>
          <w:b/>
        </w:rPr>
        <w:t>E. 2.1.2</w:t>
      </w:r>
    </w:p>
    <w:p>
      <w:r>
        <w:t>Selon l’art. 647b al. 1 CC, applicable à la copropriété, une décision prise à la majorité de tous les copropriétaires, représentant en outre, leurs parts réunies, plus de la moitié de la chose, est nécessaire notamment pour les actes d’administration plus importants, notamment les changements de culture ou d’utilisation et la conclusion ou la</w:t>
      </w:r>
    </w:p>
    <w:p>
      <w:r>
        <w:t>- 8 - résiliation de baux à loyer et à ferme (STEINAUER, Les droits réels, Tome I, 6e éd., 2019, n. 1807, p. 503 ; RVJ 2018 p. 166). Le bail à loyer, de même que le contrat de prêt à usage, entraîne une cession par le bailleur au locataire de l'usage de la chose louée, le locataire devenant possesseur de celle-ci et bénéficiant des droits attachés à la possession (art. 253 et 305 CO; art. 926ss CC, 679 et 684 CC). Pendant toute la durée du bail, le bailleur doit garantir au locataire un usage exclusif et sans trouble de la chose louée et de ses dépendances. Aux termes du contrat, le locataire demeure, aussi longtemps qu'il conserve la maîtrise effective des lieux qu'il occupe, seul titulaire du droit au domicile (ATF 112 IV 31 consid. 3). Sauf accord du locataire, du juge ou état de nécessité, il ne peut pas pénétrer dans les locaux ni garder un double des clés (art. 186 CP ; ATF 112 IV 31 consid. 3 ; CORBOZ, Les infractions en droit suisse, volume I, 3e éd., n. 27 ad art. 186 CP ; LACHAT/BOHNET, in : Commentaire romand, 3ème éd., 2021, n. 3 ad art. 253 CO). Le locataire qui a la jouissance des locaux peut invoquer un droit préférable à celui du bailleur et changer les serrures pour garantir l'accès à son domicile sans que l'on puisse lui reprocher un dommage à la propriété, du moment qu’il remet les locaux en ordre à la fin du contrat (arrêt du Tribunal cantonal du canton de Neuchâtel NT.2005.196 du 15 avril 2005 consid. 5). Bien que le locataire n’ait le droit de rénover ou de modifier la chose qu’avec le consentement écrit du bailleur (art. 260a al. 1 CO), le changement d'un cylindre de serrure ne tombe pas dans la catégorie des rénovations qui entraînent une amélioration de l'état de l'objet, ni dans celle des modifications qui touchent la substance même de l'objet; un consentement écrit n’étant donc pas nécessaire (arrêt du Tribunal fédéral 4A_463/2014 du 23 janvier 2012 consid. 4.3). Les mêmes principes s’appliquent en matière de prêt à usage, celui-ci impliquant aussi la cession de la jouissance de la chose (BOVET/RICHA, Commentaire romand, n. 3 ad art. 306 CO).</w:t>
      </w:r>
    </w:p>
    <w:p>
      <w:r>
        <w:rPr>
          <w:b/>
        </w:rPr>
        <w:t>E. 2.1.3</w:t>
      </w:r>
    </w:p>
    <w:p>
      <w:r>
        <w:t>Sur le plan subjectif, il faut que l'auteur ait agi intentionnellement, c'est-à-dire qu'il ait voulu contraindre la victime à adopter le comportement visé en étant conscient de l'illicéité de son comportement ; le dol éventuel suffit (ATF 120 IV 17 consid. 2c). Pour qu'elle soit consommée, il faut que la victime, sous l'effet de moyens de contrainte illicites, commence à modifier son comportement, subissant ainsi l'influence voulue par l'auteur (arrêt du Tribunal fédéral 6B_719/2015 du 4 mai 2016 consid. 2.1). Lorsque la</w:t>
      </w:r>
    </w:p>
    <w:p>
      <w:r>
        <w:t>- 9 - victime ne se laisse pas intimider et n'adopte pas le comportement voulu par l'auteur, ce dernier est punissable de tentative de contrainte (art. 22 al. 1 CP ; ATF 129 IV 262 consid. 2.7 ; 106 IV 125 consid. 2b).</w:t>
      </w:r>
    </w:p>
    <w:p>
      <w:r>
        <w:rPr>
          <w:b/>
        </w:rPr>
        <w:t>E. 2.2</w:t>
      </w:r>
    </w:p>
    <w:p>
      <w:r>
        <w:t>En l’espèce, il est constant qu’au mois d’août 2016, l’appelant – qui occupait avec sa fille D _________ l’appartement de F _________, selon contrat de prêt avec ses deux enfants, bénéficiant de 2/3 des parts de l’appartement et constituant ainsi la majorité des copropriétaires au sens de l’art. 647b al. 1 CC – a changé le cylindre du logement, dans le but d’empêcher des tiers et en particulier les employés de la régie immobilière, de pénétrer le logement à leur guise et sans son consentement préalable. En sa qualité d’emprunteur et de possesseur, l’appelant jouissait, au moment des faits du droit de défense prévu à l’art. 926 CC, qui lui permettait de prendre des mesures afin de protéger sa possession. Selon les explications du prévenu, qui sont crédibles, son action était guidée par l’objectif de protéger sa fille et ses effets personnels contre des intrusions des employés de la régie immobilière G _________, qui étaient en possession des clés, et dont il n’aurait pas été préalablement informé. Force est d’ailleurs de constater que les craintes du prévenu étaient fondées, puisque les deux tentatives de la régie de pénétrer dans le logement, le 30 août 2016 et le 19 septembre 2016, ne lui avaient pas été annoncées à l’avance. Ainsi, le fait que l’appelant ait procédé au changement – temporaire, puisqu’il a indiqué qu’il remettait le cylindre original en place à chaque nouvelle mise en location par la régie (dos., p. 89 et 156) – de la serrure de la porte d’entrée de l’appartement, dans le but de protéger son intimité, ses objets de valeur et son enfant des allers et venues des employés de la régie G _________, constituait une composante de son droit de possession lié à la cession de l’usage de l’appartement. On ne peut donc voir dans son comportement une volonté chicanière à l’égard de la partie plaignante, comme celle-ci le soutient. Au contraire, par cet acte, celui-ci entendait seulement garantir son intimité et se protéger contre des usurpations potentielles du droit de possession dont il bénéficiait en vertu du contrat de prêt accordé par ses enfants, à la double majorité des copropriétaires. En définitive, le prévenu a utilisé son droit possessoire découlant de l’art. 926 CC en procédant au changement des serrures de l’appartement. Au vu des circonstances et du fait qu’il pouvait justifier d’un droit préférable sur l’appartement à celui de la plaignante, son comportement ne peut pas être considéré illicite ou disproportionné, tant s’agissant du moyen utilisé que du but poursuivi. Le caractère illicite du moyen de contrainte utilisé faisant défaut, les éléments constitutifs de l’infraction de contrainte ne sont pas remplis en l’espèce.</w:t>
      </w:r>
    </w:p>
    <w:p>
      <w:r>
        <w:t>- 10 - Par conséquent, Y _________ doit être acquitté de l’infraction de tentative de contrainte (art. 22 al. 1 cum 181 CP), le jugement entrepris étant réformé.</w:t>
      </w:r>
    </w:p>
    <w:p>
      <w:r>
        <w:rPr>
          <w:b/>
        </w:rPr>
        <w:t>E. 3.1</w:t>
      </w:r>
    </w:p>
    <w:p>
      <w:r>
        <w:t>Si, comme en l’espèce, l’autorité de recours rend une nouvelle décision, elle se prononce également sur les frais fixés par l’autorité inférieure (art. 428 al. 3 CPP). Selon l'art. 423 al. 1 CPP, les frais de procédure sont mis à la charge de la Confédération ou du canton qui a conduit la procédure, les dispositions contraires du présent code étant réservées. A teneur de l'article 426 al. 1 CPP, le prévenu supporte les frais de procédure s'il est condamné. Lorsque le prévenu est acquitté, tout ou partie des frais de procédure peuvent cependant être mis à sa charge s'il a, de manière illicite et fautive, provoqué l'ouverture de la procédure ou rendu plus difficile la conduite de celle-ci (al. 2). Aux termes de l'article 427 al. 2 CPP,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l'article 426 al. 2 CPP (let. b). Le montant de frais de procédure de première instance (1600 fr. s’agissant de la procédure devant le Tribunal de district et 1000 fr. s’agissant de la procédure devant le Ministère public) soit un total de 2600 fr., non contesté par l’appelant, est confirmé. Vu l’acquittement de l’appelant, la part des frais mis à sa charge par le premier juge doit être supportée par l’Etat, le prévenu n’ayant pas provoqué l’ouverture de la procédure de manière illicite et fautive, ni rendu plus difficile la conduite de celle-ci (art. 426 al. 2 CPP). Ainsi, la moitié des frais de première instance sont mis à la charge de la partie plaignante, en application de l’art. 427 al. 2 CPP (ATF 138 IV 248 consid. 4.1), le solde étant supporté par l’Etat du Valais.</w:t>
      </w:r>
    </w:p>
    <w:p>
      <w:r>
        <w:rPr>
          <w:b/>
        </w:rPr>
        <w:t>E. 3.2</w:t>
      </w:r>
    </w:p>
    <w:p>
      <w:r>
        <w:t>Le sort des frais de la procédure d’appel est réglé par l’art. 428 al. 1 CPP, qui prévoit leur prise en charge par la partie qui succombe. Pour déterminer si une partie succombe ou obtient gain de cause, il faut examiner dans quelle mesure ses conclusions sont admises (ATF 145 IV 90 consid. 4.1). Pour la procédure d'appel devant le Tribunal cantonal, l'émolument est compris entre 380 fr. et 5000 fr. (art. 22 let. f LTar). En l'espèce, compte tenu du degré de difficulté ordinaire de l'affaire, des principes de la couverture des frais et de l'équivalence des prestations, l'émolument judiciaire est fixé à 1000 francs. L’appelant obtenant gain de cause, les frais de deuxième instance sont mis</w:t>
      </w:r>
    </w:p>
    <w:p>
      <w:r>
        <w:t>- 11 - par moitié à la charge de l’Etat du Valais et par moitié à la charge de la partie plaignante qui a, tout comme le Ministère public, conclu à la confirmation du jugement de première instance. 5.3 Le prévenu étant acquitté et n’ayant pas provoqué illicitement et fautivement l’ouverture de la procédure ni rendu plus difficile la conduite de celle-ci (art. 430 al. 1 let. a CPP), il a droit à une indemnité pour les dépenses occasionnées par l’exercice raisonnable de ses droits de procédure (art. 429 al. 1 let. a CPP). 5.3.1 L'indemnité de l'art. 429 al. 1 let. a CPP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p. 46 s.). Le Code de procédure pénale ne prévoit pas d'indemnisation pour le temps personnel (étude des dossiers, rédaction des actes de procédure, participation aux audiences, etc.) des personnes ou des prévenus qui ne sont pas représentés par des avocats, pas plus que pour les personnes représentées par des avocats, qui doivent généralement consacrer leur propre temps à leur défense, même si elles sont défendues par un avocat. Toutefois, une indemnisation peut être accordée si des " circonstances particulières " le justifient. De telles circonstances existent si l'affaire est particulièrement complexe et le montant du litige est élevé (a), la défense des intérêts exige un travail important qui dépasse le cadre de ce que l'individu doit habituellement et raisonnablement faire à côté pour s'occuper de ses affaires personnelles (b), et que ses démarches personnelles aient contribué raisonnablement à son succès (c) (arrêt du Tribunal fédéral 6B_278/2021 du 2 novembre 2021 consid. 1.2.1 et les références citées). 5.3.2 Lorsque la partie plaignante ou le plaignant supporte les frais en application de l'art. 427 al. 2 CPP, une éventuelle indemnité allouée au prévenu peut en principe être mise à la charge de la partie plaignante ou du plaignant en vertu de l'art. 432 al. 2 CPP (ATF 147 IV 47 consid. 4.2). 5.3.3 Aux débats de première instance, l’appelant concluait à l’allocation d’une indemnité au sens de l’art. 429 let. a CPP d’un montant de 20'000 fr., qu’il a augmentée de 2000 fr. pour la procédure d’appel, soit un total de 22'000 francs. S’agissant de la première instance, l’appelant a été assisté d’un conseil juridique entre le 17 octobre 2017 (dos., p. 149) et le 1er octobre 2020 (dos., p. 211). L’activité de Me</w:t>
      </w:r>
    </w:p>
    <w:p>
      <w:r>
        <w:t>- 12 - Trimor Mehmetaj durant cette période a consisté principalement en la prise de connaissance du dossier, la participation à l’audition du 22 novembre 2017 devant le Ministère public, d’une durée de 50 minutes, et au trajet depuis Lausanne ainsi qu’en la rédaction d’une réquisition de preuves complémentaires et d’une dizaine de courriers aux autorités. Pour le surplus, on ne peut tenir compte, au vu des circonstances et du caractère relativement simple de la procédure, du temps engagé par l’appelant personnellement à la défense de ses intérêts. Dans ces conditions, l’indemnité allouée à l’appelant en vertu de l’art. 429 al. 1 let. a CPP pour la procédure de première instance est arrêtée à 2500 fr., débours et TVA inclus. Au vu de la répartition des frais arrêtée ci- dessus (consid. 3.1), l’Etat du Valais lui versera un montant de 1250 fr. (2500 fr. /1) et la partie plaignante 1250 fr. (art. 432 al. 1 et 2 CPP). 5.4 En ce qui concerne la procédure d’appel, le prévenu n’était pas représenté par un avocat. Au vu de la jurisprudence précitée, de l’enjeu limité et du caractère relativement simple de la procédure pénale, il ne se justifie pas ici d’accorder une indemnisation à l’appelant pour le temps consacré à sa propre défense. 5.5 X _________ supporte ses propres frais d’intervention en justice, tant en première instance qu’en appel (art. 433 al. 1 CPP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